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5C" w:rsidRPr="006D415C" w:rsidRDefault="006D415C" w:rsidP="006D415C">
      <w:pPr>
        <w:shd w:val="clear" w:color="auto" w:fill="EEEEEE"/>
        <w:spacing w:after="125" w:line="240" w:lineRule="auto"/>
        <w:jc w:val="both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8000"/>
          <w:u w:val="single"/>
          <w:lang w:eastAsia="pl-PL"/>
        </w:rPr>
        <w:t>Sposób myślenia –</w:t>
      </w: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 stymuluje rozwój w zakresie takich umiejętności jak: analiza i synteza, przedsiębiorczość, asertywność, negocjacje, liczenie, poszukiwanie właściwych rozwiązań, logiczne myślenie, czytanie ze zrozumieniem.</w:t>
      </w:r>
      <w:r w:rsidRPr="006D415C"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  <w:br/>
      </w:r>
      <w:r w:rsidRPr="006D415C">
        <w:rPr>
          <w:rFonts w:ascii="PT Serif" w:eastAsia="Times New Roman" w:hAnsi="PT Serif" w:cs="Times New Roman"/>
          <w:b/>
          <w:bCs/>
          <w:color w:val="008000"/>
          <w:u w:val="single"/>
          <w:lang w:eastAsia="pl-PL"/>
        </w:rPr>
        <w:t>Procesy poznawcze –</w:t>
      </w: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 dotyczące głównie nauki szkolnej, która w tym przypadku została wzbogacona o aspekt zabawy. Gry powodują, że dziecko rozwija się zarówno w sferze fizycznej, doskonaląc sprawność motoryki małej i dużej, jak i umysłowej ucząc się czytać, liczyć, zapamiętywać, kojarzyć fakty itp.</w:t>
      </w:r>
      <w:r w:rsidRPr="006D415C"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  <w:br/>
      </w:r>
      <w:r w:rsidRPr="006D415C">
        <w:rPr>
          <w:rFonts w:ascii="PT Serif" w:eastAsia="Times New Roman" w:hAnsi="PT Serif" w:cs="Times New Roman"/>
          <w:b/>
          <w:bCs/>
          <w:color w:val="008000"/>
          <w:u w:val="single"/>
          <w:lang w:eastAsia="pl-PL"/>
        </w:rPr>
        <w:t>Wyobraźnię –</w:t>
      </w: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 gry planszowe wprowadzają graczy w świat fantazji poprzez dwie płaszczyzny. Pierwsza z nich to estetyka i wygląd zewnętrzny gier. Współczesne gry zawierają wiele bajkowych elementów, kolorowych postaci, nieraz wzbogacone są o dodatkowe przedmioty mające na celu wprowadzenie małego odbiorcy w niepowtarzalny nastrój. Drugim elementem jest fabuła lub opis miejsca wydarzeń, tutaj również twórcy gier dokładają wszelkich starań, aby gracz poczuł się częścią wyimaginowanej rzeczywistości.</w:t>
      </w:r>
      <w:r w:rsidRPr="006D415C"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  <w:br/>
      </w:r>
      <w:r w:rsidRPr="006D415C">
        <w:rPr>
          <w:rFonts w:ascii="PT Serif" w:eastAsia="Times New Roman" w:hAnsi="PT Serif" w:cs="Times New Roman"/>
          <w:b/>
          <w:bCs/>
          <w:color w:val="008000"/>
          <w:u w:val="single"/>
          <w:lang w:eastAsia="pl-PL"/>
        </w:rPr>
        <w:t>Współdziałanie i współzawodnictwo</w:t>
      </w: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 – gry służą rozwojowi umiejętności społecznych. Dzieci, grając, muszą zaakceptować określone zasady i porządek, uczą się cierpliwości, jako gracze wzajemnie sobie pomagają. Gry są nieocenionym sposobem kształtowania charakteru, uczą dzieci nie tylko tego, jak radzić sobie z sukcesem, ale i z porażką, ponadto wdrażają dzieci do zdrowej rywalizacji i wpajają uczciwość.</w:t>
      </w:r>
      <w:r w:rsidRPr="006D415C"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  <w:br/>
      </w:r>
      <w:r w:rsidRPr="006D415C">
        <w:rPr>
          <w:rFonts w:ascii="PT Serif" w:eastAsia="Times New Roman" w:hAnsi="PT Serif" w:cs="Times New Roman"/>
          <w:b/>
          <w:bCs/>
          <w:color w:val="008000"/>
          <w:u w:val="single"/>
          <w:lang w:eastAsia="pl-PL"/>
        </w:rPr>
        <w:t>Dodatkowo gry poprzez swoją funkcję aktywizacyjną rozwijają następujące umiejętności:</w:t>
      </w:r>
    </w:p>
    <w:p w:rsidR="006D415C" w:rsidRPr="006D415C" w:rsidRDefault="006D415C" w:rsidP="006D415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koncentrację uwagi i spostrzegawczości. Gra często wymaga skupienia się na kilku rzeczach jednocześnie: zasadach, kolejności grania, obserwowaniu ruchów innych uczestników;</w:t>
      </w:r>
    </w:p>
    <w:p w:rsidR="006D415C" w:rsidRPr="006D415C" w:rsidRDefault="006D415C" w:rsidP="006D415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wytrwałość w dążeniu do samodzielnego rozwiązania problemu. W większości gier nie ma jednej drogi prowadzącej do wygranej. Podczas gry uczniowie samodzielnie budują swój plan gry, podejmują decyzje związane z ruchami swoich pionków czy znajdują sposoby na rozwiązanie pojawiających się problemów;</w:t>
      </w:r>
    </w:p>
    <w:p w:rsidR="006D415C" w:rsidRPr="006D415C" w:rsidRDefault="006D415C" w:rsidP="006D415C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współpracę w różnych zespołach. Podział na grupy daje dzieciom szansę na pracę w zmieniających skład zespołach i uczenie się współpracy z różnymi osobami;</w:t>
      </w:r>
    </w:p>
    <w:p w:rsidR="006D415C" w:rsidRPr="006D415C" w:rsidRDefault="006D415C" w:rsidP="006D415C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przyjmowanie odpowiedniej postawy wobec porażki i zwycięstwa oraz odporność na stres. Wielokrotnie, grając, uczniowie oswajają się ze stresem towarzyszącym rywalizacji oraz poznawaniu nowych gier. doświadczają w bezpiecznych warunkach zarówno sukcesu, jak i porażki, dzięki temu oswajają się z towarzyszącymi im emocjami;</w:t>
      </w:r>
    </w:p>
    <w:p w:rsidR="006D415C" w:rsidRPr="006D415C" w:rsidRDefault="006D415C" w:rsidP="006D415C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odkrywanie własnych mocnych stron. Podczas grania w różne gry uczniowie odkrywają swój potencjał. Rozpoznają obszary i sfery, w których mogą osiągać sukcesy;</w:t>
      </w:r>
    </w:p>
    <w:p w:rsidR="006D415C" w:rsidRPr="006D415C" w:rsidRDefault="006D415C" w:rsidP="006D415C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</w:pP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wiele różnych umiejętności matematycznych, między innymi: sprawność rachunkowa, badanie figur i związków geometrycznych, tworzenie strategii, logiczne myślenie.</w:t>
      </w:r>
      <w:r w:rsidRPr="006D415C">
        <w:rPr>
          <w:rFonts w:ascii="PT Serif" w:eastAsia="Times New Roman" w:hAnsi="PT Serif" w:cs="Times New Roman"/>
          <w:b/>
          <w:bCs/>
          <w:color w:val="0C343D"/>
          <w:sz w:val="23"/>
          <w:szCs w:val="23"/>
          <w:lang w:eastAsia="pl-PL"/>
        </w:rPr>
        <w:br/>
      </w:r>
      <w:r w:rsidRPr="006D415C">
        <w:rPr>
          <w:rFonts w:ascii="PT Serif" w:eastAsia="Times New Roman" w:hAnsi="PT Serif" w:cs="Times New Roman"/>
          <w:b/>
          <w:bCs/>
          <w:color w:val="000080"/>
          <w:lang w:eastAsia="pl-PL"/>
        </w:rPr>
        <w:t>                                                                                                                                      </w:t>
      </w:r>
    </w:p>
    <w:p w:rsidR="00992AE4" w:rsidRDefault="006D415C"/>
    <w:sectPr w:rsidR="00992AE4" w:rsidSect="0075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160"/>
    <w:multiLevelType w:val="multilevel"/>
    <w:tmpl w:val="66E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34B34"/>
    <w:multiLevelType w:val="multilevel"/>
    <w:tmpl w:val="B03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30EB7"/>
    <w:multiLevelType w:val="multilevel"/>
    <w:tmpl w:val="6D8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E560D"/>
    <w:multiLevelType w:val="multilevel"/>
    <w:tmpl w:val="FB1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415C"/>
    <w:rsid w:val="006D415C"/>
    <w:rsid w:val="007519F4"/>
    <w:rsid w:val="00B635C0"/>
    <w:rsid w:val="00D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2022-02-08T10:50:00Z</dcterms:created>
  <dcterms:modified xsi:type="dcterms:W3CDTF">2022-02-08T10:56:00Z</dcterms:modified>
</cp:coreProperties>
</file>